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19314" w14:textId="1E4BB894" w:rsidR="0033426E" w:rsidRPr="0033426E" w:rsidRDefault="0033426E" w:rsidP="0033426E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</w:pP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3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</w:rPr>
        <w:t>GPP TSG RAN WG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4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</w:rPr>
        <w:t xml:space="preserve"> Meeting 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#9</w:t>
      </w:r>
      <w:r w:rsidRPr="0033426E">
        <w:rPr>
          <w:rFonts w:ascii="Arial" w:eastAsia="ＭＳ 明朝" w:hAnsi="Arial" w:cs="Arial" w:hint="eastAsia"/>
          <w:b/>
          <w:bCs/>
          <w:noProof/>
          <w:sz w:val="28"/>
          <w:szCs w:val="20"/>
          <w:lang w:eastAsia="ja-JP"/>
        </w:rPr>
        <w:t>2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bis</w:t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ab/>
      </w: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ab/>
      </w:r>
      <w:r w:rsidRPr="00C25590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R4-191</w:t>
      </w:r>
      <w:r w:rsidR="00C25590" w:rsidRPr="00C25590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1424</w:t>
      </w:r>
    </w:p>
    <w:p w14:paraId="13242206" w14:textId="77777777" w:rsidR="0033426E" w:rsidRPr="0033426E" w:rsidRDefault="0033426E" w:rsidP="0033426E">
      <w:pPr>
        <w:tabs>
          <w:tab w:val="right" w:pos="9639"/>
        </w:tabs>
        <w:jc w:val="both"/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</w:pPr>
      <w:r w:rsidRPr="0033426E">
        <w:rPr>
          <w:rFonts w:ascii="Arial" w:eastAsia="ＭＳ 明朝" w:hAnsi="Arial" w:cs="Arial"/>
          <w:b/>
          <w:bCs/>
          <w:noProof/>
          <w:sz w:val="28"/>
          <w:szCs w:val="20"/>
          <w:lang w:eastAsia="ja-JP"/>
        </w:rPr>
        <w:t>Chongqing, China, 14 – 18 October, 2019</w:t>
      </w:r>
    </w:p>
    <w:p w14:paraId="2A53B755" w14:textId="77777777" w:rsidR="00A1449A" w:rsidRPr="00CD36E3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DC12FD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DC12FD">
        <w:rPr>
          <w:rFonts w:eastAsia="ＭＳ ゴシック"/>
          <w:sz w:val="24"/>
          <w:lang w:val="en-GB"/>
        </w:rPr>
        <w:t xml:space="preserve">Source: </w:t>
      </w:r>
      <w:r w:rsidRPr="00DC12FD">
        <w:rPr>
          <w:rFonts w:eastAsia="ＭＳ ゴシック"/>
          <w:sz w:val="24"/>
          <w:lang w:val="en-GB"/>
        </w:rPr>
        <w:tab/>
        <w:t>NTT DOCOMO, INC.</w:t>
      </w:r>
    </w:p>
    <w:p w14:paraId="4F2F3850" w14:textId="70B9BEF1" w:rsidR="00A1449A" w:rsidRPr="00DC12FD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DC12FD">
        <w:rPr>
          <w:rFonts w:eastAsia="ＭＳ ゴシック"/>
          <w:sz w:val="24"/>
          <w:lang w:val="en-GB"/>
        </w:rPr>
        <w:t xml:space="preserve">Title: </w:t>
      </w:r>
      <w:r w:rsidRPr="00DC12FD">
        <w:rPr>
          <w:rFonts w:eastAsia="ＭＳ ゴシック"/>
          <w:sz w:val="24"/>
          <w:lang w:val="en-GB"/>
        </w:rPr>
        <w:tab/>
      </w:r>
      <w:r w:rsidR="003A6842" w:rsidRPr="00DC12FD">
        <w:rPr>
          <w:rFonts w:eastAsia="ＭＳ ゴシック" w:hint="eastAsia"/>
          <w:sz w:val="24"/>
          <w:lang w:val="en-GB" w:eastAsia="ja-JP"/>
        </w:rPr>
        <w:t>Clarification</w:t>
      </w:r>
      <w:r w:rsidRPr="00DC12FD">
        <w:rPr>
          <w:rFonts w:eastAsia="ＭＳ ゴシック"/>
          <w:sz w:val="24"/>
          <w:lang w:val="en-GB" w:eastAsia="ja-JP"/>
        </w:rPr>
        <w:t xml:space="preserve"> on </w:t>
      </w:r>
      <w:r w:rsidR="00CD36E3" w:rsidRPr="00DC12FD">
        <w:rPr>
          <w:rFonts w:eastAsia="ＭＳ ゴシック" w:hint="eastAsia"/>
          <w:sz w:val="24"/>
          <w:lang w:val="en-GB" w:eastAsia="ja-JP"/>
        </w:rPr>
        <w:t>QCL assumption</w:t>
      </w:r>
      <w:r w:rsidR="00090908" w:rsidRPr="00DC12FD">
        <w:rPr>
          <w:rFonts w:eastAsia="ＭＳ ゴシック" w:hint="eastAsia"/>
          <w:sz w:val="24"/>
          <w:lang w:val="en-GB" w:eastAsia="ja-JP"/>
        </w:rPr>
        <w:t xml:space="preserve"> for RRM requirements</w:t>
      </w:r>
    </w:p>
    <w:p w14:paraId="61903724" w14:textId="1DFB0CF9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DC12FD">
        <w:rPr>
          <w:rFonts w:eastAsia="ＭＳ ゴシック"/>
          <w:sz w:val="24"/>
          <w:lang w:val="en-GB"/>
        </w:rPr>
        <w:t>Agenda item:</w:t>
      </w:r>
      <w:r w:rsidRPr="00DC12FD">
        <w:rPr>
          <w:rFonts w:eastAsia="ＭＳ ゴシック"/>
          <w:sz w:val="24"/>
          <w:lang w:val="en-GB"/>
        </w:rPr>
        <w:tab/>
      </w:r>
      <w:r w:rsidR="006862AE">
        <w:rPr>
          <w:rFonts w:eastAsia="ＭＳ ゴシック"/>
          <w:sz w:val="24"/>
          <w:lang w:val="en-GB"/>
        </w:rPr>
        <w:t>6.10.8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5BE21A70" w:rsidR="00245B52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>At RAN4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>#91</w:t>
      </w:r>
      <w:r w:rsidR="00AE0E2D">
        <w:rPr>
          <w:rFonts w:ascii="Times New Roman" w:eastAsia="ＭＳ 明朝" w:hAnsi="Times New Roman"/>
          <w:sz w:val="22"/>
          <w:lang w:eastAsia="ja-JP"/>
        </w:rPr>
        <w:t xml:space="preserve"> and #92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 xml:space="preserve"> meeting</w:t>
      </w:r>
      <w:r w:rsidRPr="002A5548">
        <w:rPr>
          <w:rFonts w:ascii="Times New Roman" w:eastAsia="ＭＳ 明朝" w:hAnsi="Times New Roman"/>
          <w:sz w:val="22"/>
          <w:lang w:eastAsia="ja-JP"/>
        </w:rPr>
        <w:t xml:space="preserve">, 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>applicability for QCL Type-D in RAN4 RRM specification was discussed and following agreement was made</w:t>
      </w:r>
      <w:r w:rsidR="00857742">
        <w:rPr>
          <w:rFonts w:ascii="Times New Roman" w:eastAsia="ＭＳ 明朝" w:hAnsi="Times New Roman"/>
          <w:sz w:val="22"/>
          <w:lang w:eastAsia="ja-JP"/>
        </w:rPr>
        <w:t xml:space="preserve"> in R</w:t>
      </w:r>
      <w:r w:rsidR="00366001">
        <w:rPr>
          <w:rFonts w:ascii="Times New Roman" w:eastAsia="ＭＳ 明朝" w:hAnsi="Times New Roman"/>
          <w:sz w:val="22"/>
          <w:lang w:eastAsia="ja-JP"/>
        </w:rPr>
        <w:t>AN</w:t>
      </w:r>
      <w:r w:rsidR="00857742">
        <w:rPr>
          <w:rFonts w:ascii="Times New Roman" w:eastAsia="ＭＳ 明朝" w:hAnsi="Times New Roman"/>
          <w:sz w:val="22"/>
          <w:lang w:eastAsia="ja-JP"/>
        </w:rPr>
        <w:t>4#91</w:t>
      </w:r>
      <w:r w:rsidR="00551464">
        <w:rPr>
          <w:rFonts w:ascii="Times New Roman" w:eastAsia="ＭＳ 明朝" w:hAnsi="Times New Roman" w:hint="eastAsia"/>
          <w:sz w:val="22"/>
          <w:lang w:eastAsia="ja-JP"/>
        </w:rPr>
        <w:t>.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 xml:space="preserve"> However, </w:t>
      </w:r>
      <w:r w:rsidR="00035A27">
        <w:rPr>
          <w:rFonts w:ascii="Times New Roman" w:eastAsia="ＭＳ 明朝" w:hAnsi="Times New Roman" w:hint="eastAsia"/>
          <w:sz w:val="22"/>
          <w:lang w:eastAsia="ja-JP"/>
        </w:rPr>
        <w:t>how to capture this clarification in the specification has been still under discussion. In this contribution, we provide our view</w:t>
      </w:r>
      <w:r w:rsidR="00D66A21">
        <w:rPr>
          <w:rFonts w:ascii="Times New Roman" w:eastAsia="ＭＳ 明朝" w:hAnsi="Times New Roman" w:hint="eastAsia"/>
          <w:sz w:val="22"/>
          <w:lang w:eastAsia="ja-JP"/>
        </w:rPr>
        <w:t>s</w:t>
      </w:r>
      <w:r w:rsidR="00035A27">
        <w:rPr>
          <w:rFonts w:ascii="Times New Roman" w:eastAsia="ＭＳ 明朝" w:hAnsi="Times New Roman" w:hint="eastAsia"/>
          <w:sz w:val="22"/>
          <w:lang w:eastAsia="ja-JP"/>
        </w:rPr>
        <w:t xml:space="preserve"> on this issue.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7996" w14:paraId="35B4D278" w14:textId="77777777" w:rsidTr="00DE7996">
        <w:tc>
          <w:tcPr>
            <w:tcW w:w="10062" w:type="dxa"/>
          </w:tcPr>
          <w:p w14:paraId="7475250C" w14:textId="2868187F" w:rsidR="00DE7996" w:rsidRPr="00DE7996" w:rsidRDefault="00DE7996" w:rsidP="00DE7996">
            <w:pPr>
              <w:spacing w:before="240" w:after="240"/>
              <w:rPr>
                <w:b/>
                <w:sz w:val="22"/>
                <w:u w:val="single"/>
                <w:lang w:eastAsia="ja-JP"/>
              </w:rPr>
            </w:pPr>
            <w:r w:rsidRPr="00DE7996">
              <w:rPr>
                <w:rFonts w:hint="eastAsia"/>
                <w:b/>
                <w:sz w:val="22"/>
                <w:u w:val="single"/>
                <w:lang w:eastAsia="ja-JP"/>
              </w:rPr>
              <w:t>Agreements in RAN4#</w:t>
            </w:r>
            <w:r w:rsidR="00292890" w:rsidRPr="00DE7996">
              <w:rPr>
                <w:rFonts w:hint="eastAsia"/>
                <w:b/>
                <w:sz w:val="22"/>
                <w:u w:val="single"/>
                <w:lang w:eastAsia="ja-JP"/>
              </w:rPr>
              <w:t>9</w:t>
            </w:r>
            <w:r w:rsidR="00292890">
              <w:rPr>
                <w:rFonts w:hint="eastAsia"/>
                <w:b/>
                <w:sz w:val="22"/>
                <w:u w:val="single"/>
                <w:lang w:eastAsia="ja-JP"/>
              </w:rPr>
              <w:t>1</w:t>
            </w:r>
          </w:p>
          <w:p w14:paraId="071CCF3B" w14:textId="77777777" w:rsidR="00292890" w:rsidRDefault="00292890" w:rsidP="00292890">
            <w:pPr>
              <w:rPr>
                <w:sz w:val="21"/>
                <w:szCs w:val="21"/>
                <w:highlight w:val="green"/>
                <w:lang w:eastAsia="ja-JP"/>
              </w:rPr>
            </w:pPr>
            <w:r w:rsidRPr="00292890">
              <w:rPr>
                <w:rFonts w:hint="eastAsia"/>
                <w:sz w:val="21"/>
                <w:szCs w:val="21"/>
                <w:highlight w:val="green"/>
                <w:lang w:eastAsia="zh-CN"/>
              </w:rPr>
              <w:t xml:space="preserve">Agreement: Add the </w:t>
            </w:r>
            <w:r w:rsidRPr="00292890">
              <w:rPr>
                <w:sz w:val="21"/>
                <w:szCs w:val="21"/>
                <w:highlight w:val="green"/>
                <w:lang w:eastAsia="zh-CN"/>
              </w:rPr>
              <w:t>clarification</w:t>
            </w:r>
            <w:r w:rsidRPr="00292890">
              <w:rPr>
                <w:rFonts w:hint="eastAsia"/>
                <w:sz w:val="21"/>
                <w:szCs w:val="21"/>
                <w:highlight w:val="green"/>
                <w:lang w:eastAsia="zh-CN"/>
              </w:rPr>
              <w:t xml:space="preserve"> of applicailbity for QCL Type-D in the RAN4 spec.</w:t>
            </w:r>
          </w:p>
          <w:p w14:paraId="50B11D10" w14:textId="7EF174ED" w:rsidR="00DE7996" w:rsidRPr="00DE7996" w:rsidRDefault="00DE7996" w:rsidP="00292890">
            <w:pPr>
              <w:rPr>
                <w:rFonts w:eastAsia="ＭＳ 明朝"/>
                <w:sz w:val="22"/>
                <w:lang w:eastAsia="ja-JP"/>
              </w:rPr>
            </w:pPr>
          </w:p>
        </w:tc>
      </w:tr>
    </w:tbl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61BD47B1" w14:textId="6024880A" w:rsidR="00090908" w:rsidRDefault="00090908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In TS 38.133, some of RRM requirements are defined based on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assumption especially for</w:t>
      </w:r>
      <w:r w:rsidR="00F410A7">
        <w:rPr>
          <w:rFonts w:eastAsia="ＭＳ 明朝" w:hint="eastAsia"/>
          <w:iCs/>
          <w:sz w:val="22"/>
          <w:lang w:eastAsia="ja-JP"/>
        </w:rPr>
        <w:t xml:space="preserve"> the </w:t>
      </w:r>
      <w:r>
        <w:rPr>
          <w:rFonts w:eastAsia="ＭＳ 明朝" w:hint="eastAsia"/>
          <w:iCs/>
          <w:sz w:val="22"/>
          <w:lang w:eastAsia="ja-JP"/>
        </w:rPr>
        <w:t>requirements related to whether UE needs to perform Rx beam sweeping</w:t>
      </w:r>
      <w:r w:rsidR="00BA52B1">
        <w:rPr>
          <w:rFonts w:eastAsia="ＭＳ 明朝" w:hint="eastAsia"/>
          <w:iCs/>
          <w:sz w:val="22"/>
          <w:lang w:eastAsia="ja-JP"/>
        </w:rPr>
        <w:t>.</w:t>
      </w:r>
      <w:r w:rsidR="001C202B">
        <w:rPr>
          <w:rFonts w:eastAsia="ＭＳ 明朝" w:hint="eastAsia"/>
          <w:iCs/>
          <w:sz w:val="22"/>
          <w:lang w:eastAsia="ja-JP"/>
        </w:rPr>
        <w:t xml:space="preserve"> For example, if RS resource to be measured is</w:t>
      </w:r>
      <w:r>
        <w:rPr>
          <w:rFonts w:eastAsia="ＭＳ 明朝" w:hint="eastAsia"/>
          <w:iCs/>
          <w:sz w:val="22"/>
          <w:lang w:eastAsia="ja-JP"/>
        </w:rPr>
        <w:t xml:space="preserve">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with other RS resource on which UE can train Rx beams, UE does not need to perform additional Rx beam sweeping on that</w:t>
      </w:r>
      <w:r w:rsidR="001C202B">
        <w:rPr>
          <w:rFonts w:eastAsia="ＭＳ 明朝" w:hint="eastAsia"/>
          <w:iCs/>
          <w:sz w:val="22"/>
          <w:lang w:eastAsia="ja-JP"/>
        </w:rPr>
        <w:t xml:space="preserve"> measured</w:t>
      </w:r>
      <w:r>
        <w:rPr>
          <w:rFonts w:eastAsia="ＭＳ 明朝" w:hint="eastAsia"/>
          <w:iCs/>
          <w:sz w:val="22"/>
          <w:lang w:eastAsia="ja-JP"/>
        </w:rPr>
        <w:t xml:space="preserve"> RS resource, </w:t>
      </w:r>
      <w:r>
        <w:rPr>
          <w:rFonts w:eastAsia="ＭＳ 明朝"/>
          <w:iCs/>
          <w:sz w:val="22"/>
          <w:lang w:eastAsia="ja-JP"/>
        </w:rPr>
        <w:t>i.e.</w:t>
      </w:r>
      <w:r w:rsidR="00F410A7">
        <w:rPr>
          <w:rFonts w:eastAsia="ＭＳ 明朝" w:hint="eastAsia"/>
          <w:iCs/>
          <w:sz w:val="22"/>
          <w:lang w:eastAsia="ja-JP"/>
        </w:rPr>
        <w:t>,</w:t>
      </w:r>
      <w:r>
        <w:rPr>
          <w:rFonts w:eastAsia="ＭＳ 明朝"/>
          <w:iCs/>
          <w:sz w:val="22"/>
          <w:lang w:eastAsia="ja-JP"/>
        </w:rPr>
        <w:t xml:space="preserve"> </w:t>
      </w:r>
      <w:r>
        <w:rPr>
          <w:rFonts w:eastAsia="ＭＳ 明朝" w:hint="eastAsia"/>
          <w:iCs/>
          <w:sz w:val="22"/>
          <w:lang w:eastAsia="ja-JP"/>
        </w:rPr>
        <w:t>N = 1</w:t>
      </w:r>
      <w:r w:rsidR="00F410A7">
        <w:rPr>
          <w:rFonts w:eastAsia="ＭＳ 明朝" w:hint="eastAsia"/>
          <w:iCs/>
          <w:sz w:val="22"/>
          <w:lang w:eastAsia="ja-JP"/>
        </w:rPr>
        <w:t xml:space="preserve"> can apply to such</w:t>
      </w:r>
      <w:r>
        <w:rPr>
          <w:rFonts w:eastAsia="ＭＳ 明朝" w:hint="eastAsia"/>
          <w:iCs/>
          <w:sz w:val="22"/>
          <w:lang w:eastAsia="ja-JP"/>
        </w:rPr>
        <w:t xml:space="preserve"> requirements. Moreover, scheduling </w:t>
      </w:r>
      <w:r>
        <w:rPr>
          <w:rFonts w:eastAsia="ＭＳ 明朝"/>
          <w:iCs/>
          <w:sz w:val="22"/>
          <w:lang w:eastAsia="ja-JP"/>
        </w:rPr>
        <w:t>restriction</w:t>
      </w:r>
      <w:r>
        <w:rPr>
          <w:rFonts w:eastAsia="ＭＳ 明朝" w:hint="eastAsia"/>
          <w:iCs/>
          <w:sz w:val="22"/>
          <w:lang w:eastAsia="ja-JP"/>
        </w:rPr>
        <w:t xml:space="preserve"> would also happen if RS resource to be measured </w:t>
      </w:r>
      <w:r w:rsidR="001C202B">
        <w:rPr>
          <w:rFonts w:eastAsia="ＭＳ 明朝" w:hint="eastAsia"/>
          <w:iCs/>
          <w:sz w:val="22"/>
          <w:lang w:eastAsia="ja-JP"/>
        </w:rPr>
        <w:t>is</w:t>
      </w:r>
      <w:r>
        <w:rPr>
          <w:rFonts w:eastAsia="ＭＳ 明朝" w:hint="eastAsia"/>
          <w:iCs/>
          <w:sz w:val="22"/>
          <w:lang w:eastAsia="ja-JP"/>
        </w:rPr>
        <w:t xml:space="preserve"> not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 xml:space="preserve">TypeD with DMRS of PDCCH and PDSCH.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>
        <w:rPr>
          <w:rFonts w:eastAsia="ＭＳ 明朝" w:hint="eastAsia"/>
          <w:iCs/>
          <w:sz w:val="22"/>
          <w:lang w:eastAsia="ja-JP"/>
        </w:rPr>
        <w:t xml:space="preserve">owever, </w:t>
      </w:r>
      <w:r w:rsidR="001C202B">
        <w:rPr>
          <w:rFonts w:eastAsia="ＭＳ 明朝" w:hint="eastAsia"/>
          <w:iCs/>
          <w:sz w:val="22"/>
          <w:lang w:eastAsia="ja-JP"/>
        </w:rPr>
        <w:t xml:space="preserve">applicable </w:t>
      </w:r>
      <w:r>
        <w:rPr>
          <w:rFonts w:eastAsia="ＭＳ 明朝" w:hint="eastAsia"/>
          <w:iCs/>
          <w:sz w:val="22"/>
          <w:lang w:eastAsia="ja-JP"/>
        </w:rPr>
        <w:t>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 xml:space="preserve">TypeD </w:t>
      </w:r>
      <w:r>
        <w:rPr>
          <w:rFonts w:eastAsia="ＭＳ 明朝"/>
          <w:iCs/>
          <w:sz w:val="22"/>
          <w:lang w:eastAsia="ja-JP"/>
        </w:rPr>
        <w:t>assumption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 xml:space="preserve">is </w:t>
      </w:r>
      <w:r>
        <w:rPr>
          <w:rFonts w:eastAsia="ＭＳ 明朝" w:hint="eastAsia"/>
          <w:iCs/>
          <w:sz w:val="22"/>
          <w:lang w:eastAsia="ja-JP"/>
        </w:rPr>
        <w:t xml:space="preserve">not clearly </w:t>
      </w:r>
      <w:r w:rsidR="00D66A21">
        <w:rPr>
          <w:rFonts w:eastAsia="ＭＳ 明朝" w:hint="eastAsia"/>
          <w:iCs/>
          <w:sz w:val="22"/>
          <w:lang w:eastAsia="ja-JP"/>
        </w:rPr>
        <w:t xml:space="preserve">described </w:t>
      </w:r>
      <w:r w:rsidR="00F410A7">
        <w:rPr>
          <w:rFonts w:eastAsia="ＭＳ 明朝" w:hint="eastAsia"/>
          <w:iCs/>
          <w:sz w:val="22"/>
          <w:lang w:eastAsia="ja-JP"/>
        </w:rPr>
        <w:t xml:space="preserve">in the current specification even </w:t>
      </w:r>
      <w:r>
        <w:rPr>
          <w:rFonts w:eastAsia="ＭＳ 明朝" w:hint="eastAsia"/>
          <w:iCs/>
          <w:sz w:val="22"/>
          <w:lang w:eastAsia="ja-JP"/>
        </w:rPr>
        <w:t>though both direct and indirect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relation between source and target RS resources could be applicable</w:t>
      </w:r>
      <w:r w:rsidR="00D66A21">
        <w:rPr>
          <w:rFonts w:eastAsia="ＭＳ 明朝" w:hint="eastAsia"/>
          <w:iCs/>
          <w:sz w:val="22"/>
          <w:lang w:eastAsia="ja-JP"/>
        </w:rPr>
        <w:t xml:space="preserve"> as shown in</w:t>
      </w:r>
      <w:r w:rsidR="00BA6B25">
        <w:rPr>
          <w:rFonts w:eastAsia="ＭＳ 明朝" w:hint="eastAsia"/>
          <w:iCs/>
          <w:sz w:val="22"/>
          <w:lang w:eastAsia="ja-JP"/>
        </w:rPr>
        <w:t xml:space="preserve"> </w:t>
      </w:r>
      <w:r w:rsidR="00BA6B25" w:rsidRPr="00245AE7">
        <w:rPr>
          <w:rFonts w:eastAsia="ＭＳ 明朝" w:hint="eastAsia"/>
          <w:iCs/>
          <w:sz w:val="22"/>
          <w:lang w:eastAsia="ja-JP"/>
        </w:rPr>
        <w:t>Figure 1</w:t>
      </w:r>
      <w:r w:rsidR="00D66A21">
        <w:rPr>
          <w:rFonts w:eastAsia="ＭＳ 明朝" w:hint="eastAsia"/>
          <w:iCs/>
          <w:sz w:val="22"/>
          <w:lang w:eastAsia="ja-JP"/>
        </w:rPr>
        <w:t>. Figure 1</w:t>
      </w:r>
      <w:r w:rsidR="00FE4E64" w:rsidRPr="00245AE7">
        <w:rPr>
          <w:rFonts w:eastAsia="ＭＳ 明朝" w:hint="eastAsia"/>
          <w:iCs/>
          <w:sz w:val="22"/>
          <w:lang w:eastAsia="ja-JP"/>
        </w:rPr>
        <w:t xml:space="preserve"> (a)</w:t>
      </w:r>
      <w:r w:rsidR="00FE4E64">
        <w:rPr>
          <w:rFonts w:eastAsia="ＭＳ 明朝" w:hint="eastAsia"/>
          <w:iCs/>
          <w:sz w:val="22"/>
          <w:lang w:eastAsia="ja-JP"/>
        </w:rPr>
        <w:t xml:space="preserve"> shows 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 w:rsidR="00FE4E64">
        <w:rPr>
          <w:rFonts w:eastAsia="ＭＳ 明朝" w:hint="eastAsia"/>
          <w:iCs/>
          <w:sz w:val="22"/>
          <w:lang w:eastAsia="ja-JP"/>
        </w:rPr>
        <w:t xml:space="preserve">TypeD relation between CSI-RS for L1-RSRP reporting and SSB for L1-RSRP reporting, which is </w:t>
      </w:r>
      <w:r w:rsidR="00F410A7">
        <w:rPr>
          <w:rFonts w:eastAsia="ＭＳ 明朝" w:hint="eastAsia"/>
          <w:iCs/>
          <w:sz w:val="22"/>
          <w:lang w:eastAsia="ja-JP"/>
        </w:rPr>
        <w:t xml:space="preserve">the </w:t>
      </w:r>
      <w:r w:rsidR="001C202B">
        <w:rPr>
          <w:rFonts w:eastAsia="ＭＳ 明朝" w:hint="eastAsia"/>
          <w:iCs/>
          <w:sz w:val="22"/>
          <w:lang w:eastAsia="ja-JP"/>
        </w:rPr>
        <w:t>valid configuration as N = 1 condition for L1-RSRP reporting</w:t>
      </w:r>
      <w:r w:rsidR="00FE4E64">
        <w:rPr>
          <w:rFonts w:eastAsia="ＭＳ 明朝" w:hint="eastAsia"/>
          <w:iCs/>
          <w:sz w:val="22"/>
          <w:lang w:eastAsia="ja-JP"/>
        </w:rPr>
        <w:t xml:space="preserve"> based on the previous agreement</w:t>
      </w:r>
      <w:r w:rsidR="001C202B">
        <w:rPr>
          <w:rFonts w:eastAsia="ＭＳ 明朝" w:hint="eastAsia"/>
          <w:iCs/>
          <w:sz w:val="22"/>
          <w:lang w:eastAsia="ja-JP"/>
        </w:rPr>
        <w:t>s</w:t>
      </w:r>
      <w:r w:rsidR="00FE4E64">
        <w:rPr>
          <w:rFonts w:eastAsia="ＭＳ 明朝" w:hint="eastAsia"/>
          <w:iCs/>
          <w:sz w:val="22"/>
          <w:lang w:eastAsia="ja-JP"/>
        </w:rPr>
        <w:t xml:space="preserve">. </w:t>
      </w:r>
      <w:r w:rsidR="00C3430C">
        <w:rPr>
          <w:rFonts w:eastAsia="ＭＳ 明朝" w:hint="eastAsia"/>
          <w:iCs/>
          <w:sz w:val="22"/>
          <w:lang w:eastAsia="ja-JP"/>
        </w:rPr>
        <w:t xml:space="preserve">On the other hand, </w:t>
      </w:r>
      <w:r w:rsidR="00EC3C47">
        <w:rPr>
          <w:rFonts w:eastAsia="ＭＳ 明朝"/>
          <w:iCs/>
          <w:sz w:val="22"/>
          <w:lang w:eastAsia="ja-JP"/>
        </w:rPr>
        <w:t xml:space="preserve">in case of </w:t>
      </w:r>
      <w:r w:rsidR="00EC3C47">
        <w:rPr>
          <w:rFonts w:eastAsia="ＭＳ 明朝" w:hint="eastAsia"/>
          <w:iCs/>
          <w:sz w:val="22"/>
          <w:lang w:eastAsia="ja-JP"/>
        </w:rPr>
        <w:t>Figure 1 (b)</w:t>
      </w:r>
      <w:r w:rsidR="00EC3C47">
        <w:rPr>
          <w:rFonts w:eastAsia="ＭＳ 明朝"/>
          <w:iCs/>
          <w:sz w:val="22"/>
          <w:lang w:eastAsia="ja-JP"/>
        </w:rPr>
        <w:t xml:space="preserve">, </w:t>
      </w:r>
      <w:r w:rsidR="003D7E9F">
        <w:rPr>
          <w:rFonts w:eastAsia="ＭＳ 明朝" w:hint="eastAsia"/>
          <w:iCs/>
          <w:sz w:val="22"/>
          <w:lang w:eastAsia="ja-JP"/>
        </w:rPr>
        <w:t xml:space="preserve">CSI-RS for L1-RSRP reporting </w:t>
      </w:r>
      <w:r w:rsidR="00EC3C47">
        <w:rPr>
          <w:rFonts w:eastAsia="ＭＳ 明朝"/>
          <w:iCs/>
          <w:sz w:val="22"/>
          <w:lang w:eastAsia="ja-JP"/>
        </w:rPr>
        <w:t xml:space="preserve">could be also </w:t>
      </w:r>
      <w:r w:rsidR="003D7E9F">
        <w:rPr>
          <w:rFonts w:eastAsia="ＭＳ 明朝" w:hint="eastAsia"/>
          <w:iCs/>
          <w:sz w:val="22"/>
          <w:lang w:eastAsia="ja-JP"/>
        </w:rPr>
        <w:t>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 w:rsidR="003D7E9F">
        <w:rPr>
          <w:rFonts w:eastAsia="ＭＳ 明朝" w:hint="eastAsia"/>
          <w:iCs/>
          <w:sz w:val="22"/>
          <w:lang w:eastAsia="ja-JP"/>
        </w:rPr>
        <w:t xml:space="preserve">TypeD with SSB for L1-RSRP </w:t>
      </w:r>
      <w:r w:rsidR="00EC3C47">
        <w:rPr>
          <w:rFonts w:eastAsia="ＭＳ 明朝"/>
          <w:iCs/>
          <w:sz w:val="22"/>
          <w:lang w:eastAsia="ja-JP"/>
        </w:rPr>
        <w:t>as</w:t>
      </w:r>
      <w:r w:rsidR="00F410A7">
        <w:rPr>
          <w:rFonts w:eastAsia="ＭＳ 明朝" w:hint="eastAsia"/>
          <w:iCs/>
          <w:sz w:val="22"/>
          <w:lang w:eastAsia="ja-JP"/>
        </w:rPr>
        <w:t xml:space="preserve"> </w:t>
      </w:r>
      <w:r w:rsidR="003D7E9F">
        <w:rPr>
          <w:rFonts w:eastAsia="ＭＳ 明朝" w:hint="eastAsia"/>
          <w:iCs/>
          <w:sz w:val="22"/>
          <w:lang w:eastAsia="ja-JP"/>
        </w:rPr>
        <w:t xml:space="preserve">indirect QCL relation. This case is also </w:t>
      </w:r>
      <w:r w:rsidR="00957E10">
        <w:rPr>
          <w:rFonts w:eastAsia="ＭＳ 明朝" w:hint="eastAsia"/>
          <w:iCs/>
          <w:sz w:val="22"/>
          <w:lang w:eastAsia="ja-JP"/>
        </w:rPr>
        <w:t>applicable since UE could assume same TRP-Tx beam for all RS resources and utilize same Rx beam</w:t>
      </w:r>
      <w:r w:rsidR="00F410A7">
        <w:rPr>
          <w:rFonts w:eastAsia="ＭＳ 明朝" w:hint="eastAsia"/>
          <w:iCs/>
          <w:sz w:val="22"/>
          <w:lang w:eastAsia="ja-JP"/>
        </w:rPr>
        <w:t>.</w:t>
      </w:r>
      <w:r w:rsidR="003D7E9F"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 w:rsidR="003D7E9F">
        <w:rPr>
          <w:rFonts w:eastAsia="ＭＳ 明朝" w:hint="eastAsia"/>
          <w:iCs/>
          <w:sz w:val="22"/>
          <w:lang w:eastAsia="ja-JP"/>
        </w:rPr>
        <w:t xml:space="preserve">ence, </w:t>
      </w:r>
      <w:r w:rsidR="00F410A7">
        <w:rPr>
          <w:rFonts w:eastAsia="ＭＳ 明朝" w:hint="eastAsia"/>
          <w:iCs/>
          <w:sz w:val="22"/>
          <w:lang w:eastAsia="ja-JP"/>
        </w:rPr>
        <w:t>not only direct but also</w:t>
      </w:r>
      <w:r w:rsidR="003D7E9F">
        <w:rPr>
          <w:rFonts w:eastAsia="ＭＳ 明朝" w:hint="eastAsia"/>
          <w:iCs/>
          <w:sz w:val="22"/>
          <w:lang w:eastAsia="ja-JP"/>
        </w:rPr>
        <w:t xml:space="preserve"> indirect QCL relation should be taken into consideration </w:t>
      </w:r>
      <w:r w:rsidR="00F410A7">
        <w:rPr>
          <w:rFonts w:eastAsia="ＭＳ 明朝" w:hint="eastAsia"/>
          <w:iCs/>
          <w:sz w:val="22"/>
          <w:lang w:eastAsia="ja-JP"/>
        </w:rPr>
        <w:t xml:space="preserve">for </w:t>
      </w:r>
      <w:r w:rsidR="003D7E9F">
        <w:rPr>
          <w:rFonts w:eastAsia="ＭＳ 明朝" w:hint="eastAsia"/>
          <w:iCs/>
          <w:sz w:val="22"/>
          <w:lang w:eastAsia="ja-JP"/>
        </w:rPr>
        <w:t xml:space="preserve">RRM requirements </w:t>
      </w:r>
      <w:r w:rsidR="00F410A7">
        <w:rPr>
          <w:rFonts w:eastAsia="ＭＳ 明朝" w:hint="eastAsia"/>
          <w:iCs/>
          <w:sz w:val="22"/>
          <w:lang w:eastAsia="ja-JP"/>
        </w:rPr>
        <w:t>related to QCL-TypeD assumption</w:t>
      </w:r>
      <w:r w:rsidR="003D7E9F">
        <w:rPr>
          <w:rFonts w:eastAsia="ＭＳ 明朝" w:hint="eastAsia"/>
          <w:iCs/>
          <w:sz w:val="22"/>
          <w:lang w:eastAsia="ja-JP"/>
        </w:rPr>
        <w:t>.</w:t>
      </w:r>
    </w:p>
    <w:p w14:paraId="61FD0722" w14:textId="3FE1B70C" w:rsidR="00D66A21" w:rsidRDefault="00D66A21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At the last RAN4 meeting,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>
        <w:rPr>
          <w:rFonts w:eastAsia="ＭＳ 明朝" w:hint="eastAsia"/>
          <w:iCs/>
          <w:sz w:val="22"/>
          <w:lang w:eastAsia="ja-JP"/>
        </w:rPr>
        <w:t xml:space="preserve">applicability for QCL-TypeD was discussed, but RAN4 has not reached conclusion on how to specify </w:t>
      </w:r>
      <w:r w:rsidR="00EC3C47">
        <w:rPr>
          <w:rFonts w:eastAsia="ＭＳ 明朝"/>
          <w:iCs/>
          <w:sz w:val="22"/>
          <w:lang w:eastAsia="ja-JP"/>
        </w:rPr>
        <w:t>such</w:t>
      </w:r>
      <w:r>
        <w:rPr>
          <w:rFonts w:eastAsia="ＭＳ 明朝" w:hint="eastAsia"/>
          <w:iCs/>
          <w:sz w:val="22"/>
          <w:lang w:eastAsia="ja-JP"/>
        </w:rPr>
        <w:t xml:space="preserve"> applicability in TS 38.133.</w:t>
      </w:r>
      <w:r w:rsidR="00097C0F">
        <w:rPr>
          <w:rFonts w:eastAsia="ＭＳ 明朝" w:hint="eastAsia"/>
          <w:iCs/>
          <w:sz w:val="22"/>
          <w:lang w:eastAsia="ja-JP"/>
        </w:rPr>
        <w:t xml:space="preserve"> In the </w:t>
      </w:r>
      <w:r w:rsidR="00097C0F">
        <w:rPr>
          <w:rFonts w:eastAsia="ＭＳ 明朝"/>
          <w:iCs/>
          <w:sz w:val="22"/>
          <w:lang w:eastAsia="ja-JP"/>
        </w:rPr>
        <w:t>discussion</w:t>
      </w:r>
      <w:r w:rsidR="00097C0F">
        <w:rPr>
          <w:rFonts w:eastAsia="ＭＳ 明朝" w:hint="eastAsia"/>
          <w:iCs/>
          <w:sz w:val="22"/>
          <w:lang w:eastAsia="ja-JP"/>
        </w:rPr>
        <w:t>, some companies proposed to prohibit more than two hops and consider two RS resources as QCL-TypeD if th</w:t>
      </w:r>
      <w:r w:rsidR="00EC3C47">
        <w:rPr>
          <w:rFonts w:eastAsia="ＭＳ 明朝"/>
          <w:iCs/>
          <w:sz w:val="22"/>
          <w:lang w:eastAsia="ja-JP"/>
        </w:rPr>
        <w:t>ose</w:t>
      </w:r>
      <w:r w:rsidR="00097C0F">
        <w:rPr>
          <w:rFonts w:eastAsia="ＭＳ 明朝" w:hint="eastAsia"/>
          <w:iCs/>
          <w:sz w:val="22"/>
          <w:lang w:eastAsia="ja-JP"/>
        </w:rPr>
        <w:t xml:space="preserve"> RS resources are respectively QCL-TypeD with the same RS resource from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 w:rsidR="00097C0F">
        <w:rPr>
          <w:rFonts w:eastAsia="ＭＳ 明朝" w:hint="eastAsia"/>
          <w:iCs/>
          <w:sz w:val="22"/>
          <w:lang w:eastAsia="ja-JP"/>
        </w:rPr>
        <w:t xml:space="preserve">requirement point of view. In our view, these proposals would be possible to make UE </w:t>
      </w:r>
      <w:r w:rsidR="00097C0F">
        <w:rPr>
          <w:rFonts w:eastAsia="ＭＳ 明朝"/>
          <w:iCs/>
          <w:sz w:val="22"/>
          <w:lang w:eastAsia="ja-JP"/>
        </w:rPr>
        <w:t>implementation</w:t>
      </w:r>
      <w:r w:rsidR="00097C0F">
        <w:rPr>
          <w:rFonts w:eastAsia="ＭＳ 明朝" w:hint="eastAsia"/>
          <w:iCs/>
          <w:sz w:val="22"/>
          <w:lang w:eastAsia="ja-JP"/>
        </w:rPr>
        <w:t xml:space="preserve"> simpler</w:t>
      </w:r>
      <w:r w:rsidR="00EC3C47">
        <w:rPr>
          <w:rFonts w:eastAsia="ＭＳ 明朝"/>
          <w:iCs/>
          <w:sz w:val="22"/>
          <w:lang w:eastAsia="ja-JP"/>
        </w:rPr>
        <w:t>.</w:t>
      </w:r>
      <w:r w:rsidR="00097C0F">
        <w:rPr>
          <w:rFonts w:eastAsia="ＭＳ 明朝" w:hint="eastAsia"/>
          <w:iCs/>
          <w:sz w:val="22"/>
          <w:lang w:eastAsia="ja-JP"/>
        </w:rPr>
        <w:t xml:space="preserve"> </w:t>
      </w:r>
      <w:r w:rsidR="00EC3C47">
        <w:rPr>
          <w:rFonts w:eastAsia="ＭＳ 明朝"/>
          <w:iCs/>
          <w:sz w:val="22"/>
          <w:lang w:eastAsia="ja-JP"/>
        </w:rPr>
        <w:t xml:space="preserve">However, </w:t>
      </w:r>
      <w:r w:rsidR="00097C0F">
        <w:rPr>
          <w:rFonts w:eastAsia="ＭＳ 明朝" w:hint="eastAsia"/>
          <w:iCs/>
          <w:sz w:val="22"/>
          <w:lang w:eastAsia="ja-JP"/>
        </w:rPr>
        <w:t>just specifying indirect QCL-TypeD</w:t>
      </w:r>
      <w:r w:rsidR="00CF15D2">
        <w:rPr>
          <w:rFonts w:eastAsia="ＭＳ 明朝"/>
          <w:iCs/>
          <w:sz w:val="22"/>
          <w:lang w:eastAsia="ja-JP"/>
        </w:rPr>
        <w:t xml:space="preserve"> </w:t>
      </w:r>
      <w:r w:rsidR="00097C0F">
        <w:rPr>
          <w:rFonts w:eastAsia="ＭＳ 明朝"/>
          <w:iCs/>
          <w:sz w:val="22"/>
          <w:lang w:eastAsia="ja-JP"/>
        </w:rPr>
        <w:t>without</w:t>
      </w:r>
      <w:r w:rsidR="00097C0F">
        <w:rPr>
          <w:rFonts w:eastAsia="ＭＳ 明朝" w:hint="eastAsia"/>
          <w:iCs/>
          <w:sz w:val="22"/>
          <w:lang w:eastAsia="ja-JP"/>
        </w:rPr>
        <w:t xml:space="preserve"> </w:t>
      </w:r>
      <w:r w:rsidR="006F778D">
        <w:rPr>
          <w:rFonts w:eastAsia="ＭＳ 明朝"/>
          <w:iCs/>
          <w:sz w:val="22"/>
          <w:lang w:eastAsia="ja-JP"/>
        </w:rPr>
        <w:t>any</w:t>
      </w:r>
      <w:r w:rsidR="00EC3C47">
        <w:rPr>
          <w:rFonts w:eastAsia="ＭＳ 明朝"/>
          <w:iCs/>
          <w:sz w:val="22"/>
          <w:lang w:eastAsia="ja-JP"/>
        </w:rPr>
        <w:t xml:space="preserve"> </w:t>
      </w:r>
      <w:r w:rsidR="00097C0F">
        <w:rPr>
          <w:rFonts w:eastAsia="ＭＳ 明朝" w:hint="eastAsia"/>
          <w:iCs/>
          <w:sz w:val="22"/>
          <w:lang w:eastAsia="ja-JP"/>
        </w:rPr>
        <w:t>restriction</w:t>
      </w:r>
      <w:r w:rsidR="00EC3C47">
        <w:rPr>
          <w:rFonts w:eastAsia="ＭＳ 明朝"/>
          <w:iCs/>
          <w:sz w:val="22"/>
          <w:lang w:eastAsia="ja-JP"/>
        </w:rPr>
        <w:t>s</w:t>
      </w:r>
      <w:r w:rsidR="00EC3C47">
        <w:rPr>
          <w:rFonts w:eastAsia="ＭＳ 明朝" w:hint="eastAsia"/>
          <w:iCs/>
          <w:sz w:val="22"/>
          <w:lang w:eastAsia="ja-JP"/>
        </w:rPr>
        <w:t>, i.e.</w:t>
      </w:r>
      <w:r w:rsidR="00EC3C47">
        <w:rPr>
          <w:rFonts w:eastAsia="ＭＳ 明朝"/>
          <w:iCs/>
          <w:sz w:val="22"/>
          <w:lang w:eastAsia="ja-JP"/>
        </w:rPr>
        <w:t>,</w:t>
      </w:r>
      <w:r w:rsidR="00EC3C47">
        <w:rPr>
          <w:rFonts w:eastAsia="ＭＳ 明朝" w:hint="eastAsia"/>
          <w:iCs/>
          <w:sz w:val="22"/>
          <w:lang w:eastAsia="ja-JP"/>
        </w:rPr>
        <w:t xml:space="preserve"> </w:t>
      </w:r>
      <w:r w:rsidR="00EC3C47">
        <w:rPr>
          <w:rFonts w:eastAsia="ＭＳ 明朝"/>
          <w:iCs/>
          <w:sz w:val="22"/>
          <w:lang w:eastAsia="ja-JP"/>
        </w:rPr>
        <w:t xml:space="preserve">prohibiting </w:t>
      </w:r>
      <w:r w:rsidR="00EC3C47">
        <w:rPr>
          <w:rFonts w:eastAsia="ＭＳ 明朝" w:hint="eastAsia"/>
          <w:iCs/>
          <w:sz w:val="22"/>
          <w:lang w:eastAsia="ja-JP"/>
        </w:rPr>
        <w:t xml:space="preserve">multiple hops, </w:t>
      </w:r>
      <w:r w:rsidR="00097C0F">
        <w:rPr>
          <w:rFonts w:eastAsia="ＭＳ 明朝" w:hint="eastAsia"/>
          <w:iCs/>
          <w:sz w:val="22"/>
          <w:lang w:eastAsia="ja-JP"/>
        </w:rPr>
        <w:t xml:space="preserve">would be reasonable </w:t>
      </w:r>
      <w:r w:rsidR="000F411B">
        <w:rPr>
          <w:rFonts w:eastAsia="ＭＳ 明朝"/>
          <w:iCs/>
          <w:sz w:val="22"/>
          <w:lang w:eastAsia="ja-JP"/>
        </w:rPr>
        <w:t>in order to make the specification simpler</w:t>
      </w:r>
      <w:r w:rsidR="00097C0F">
        <w:rPr>
          <w:rFonts w:eastAsia="ＭＳ 明朝" w:hint="eastAsia"/>
          <w:iCs/>
          <w:sz w:val="22"/>
          <w:lang w:eastAsia="ja-JP"/>
        </w:rPr>
        <w:t xml:space="preserve">. Therefore, we slightly prefer to introduce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 w:rsidR="00097C0F">
        <w:rPr>
          <w:rFonts w:eastAsia="ＭＳ 明朝" w:hint="eastAsia"/>
          <w:iCs/>
          <w:sz w:val="22"/>
          <w:lang w:eastAsia="ja-JP"/>
        </w:rPr>
        <w:t>applicability as captured in our contribution [1]</w:t>
      </w:r>
      <w:r w:rsidR="00B935EE">
        <w:rPr>
          <w:rFonts w:eastAsia="ＭＳ 明朝"/>
          <w:iCs/>
          <w:sz w:val="22"/>
          <w:lang w:eastAsia="ja-JP"/>
        </w:rPr>
        <w:t>.</w:t>
      </w:r>
    </w:p>
    <w:p w14:paraId="75145F27" w14:textId="117087F0" w:rsidR="00B502E4" w:rsidRDefault="00FF01E8" w:rsidP="00B502E4">
      <w:pPr>
        <w:spacing w:before="240" w:after="120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</w:p>
    <w:p w14:paraId="38D8CA76" w14:textId="0FF996A1" w:rsidR="00FF01E8" w:rsidRDefault="00FF01E8" w:rsidP="00B502E4">
      <w:pPr>
        <w:spacing w:before="240" w:after="120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Both direct and indirect QCL</w:t>
      </w:r>
      <w:r w:rsidR="00FF3C22">
        <w:rPr>
          <w:rFonts w:eastAsia="ＭＳ 明朝" w:hint="eastAsia"/>
          <w:b/>
          <w:iCs/>
          <w:sz w:val="22"/>
          <w:lang w:eastAsia="ja-JP"/>
        </w:rPr>
        <w:t>-TypeD</w:t>
      </w:r>
      <w:r>
        <w:rPr>
          <w:rFonts w:eastAsia="ＭＳ 明朝" w:hint="eastAsia"/>
          <w:b/>
          <w:iCs/>
          <w:sz w:val="22"/>
          <w:lang w:eastAsia="ja-JP"/>
        </w:rPr>
        <w:t xml:space="preserve"> relation would be applicable for RRM requirements.</w:t>
      </w:r>
    </w:p>
    <w:p w14:paraId="36A4436F" w14:textId="77777777" w:rsidR="00B502E4" w:rsidRDefault="006A0F95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 xml:space="preserve">: </w:t>
      </w:r>
    </w:p>
    <w:p w14:paraId="6E1EC659" w14:textId="251BCD6B" w:rsidR="006A0F95" w:rsidRDefault="006A0F95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In RRM requirements, </w:t>
      </w:r>
      <w:r w:rsidR="009F00A4" w:rsidRPr="009F00A4">
        <w:rPr>
          <w:rFonts w:eastAsia="ＭＳ 明朝"/>
          <w:b/>
          <w:iCs/>
          <w:sz w:val="22"/>
          <w:lang w:eastAsia="ja-JP"/>
        </w:rPr>
        <w:t xml:space="preserve">just specifying indirect QCL-TypeD without </w:t>
      </w:r>
      <w:r w:rsidR="006F778D">
        <w:rPr>
          <w:rFonts w:eastAsia="ＭＳ 明朝"/>
          <w:b/>
          <w:iCs/>
          <w:sz w:val="22"/>
          <w:lang w:eastAsia="ja-JP"/>
        </w:rPr>
        <w:t>any</w:t>
      </w:r>
      <w:r w:rsidR="009F00A4" w:rsidRPr="009F00A4">
        <w:rPr>
          <w:rFonts w:eastAsia="ＭＳ 明朝"/>
          <w:b/>
          <w:iCs/>
          <w:sz w:val="22"/>
          <w:lang w:eastAsia="ja-JP"/>
        </w:rPr>
        <w:t xml:space="preserve"> restrictions, i.e., prohibiting multiple hops, would be reasonable in order to make the specification simpler</w:t>
      </w:r>
      <w:r w:rsidR="009F00A4">
        <w:rPr>
          <w:rFonts w:eastAsia="ＭＳ 明朝"/>
          <w:b/>
          <w:iCs/>
          <w:sz w:val="22"/>
          <w:lang w:eastAsia="ja-JP"/>
        </w:rPr>
        <w:t>.</w:t>
      </w:r>
      <w:r w:rsidR="009F00A4" w:rsidRPr="009F00A4" w:rsidDel="009F00A4">
        <w:rPr>
          <w:rFonts w:eastAsia="ＭＳ 明朝" w:hint="eastAsia"/>
          <w:b/>
          <w:iCs/>
          <w:sz w:val="22"/>
          <w:lang w:eastAsia="ja-JP"/>
        </w:rPr>
        <w:t xml:space="preserve"> </w:t>
      </w:r>
    </w:p>
    <w:p w14:paraId="60F3A4ED" w14:textId="77777777" w:rsidR="00D71894" w:rsidRDefault="00D71894" w:rsidP="00D71894">
      <w:pPr>
        <w:keepNext/>
        <w:spacing w:before="240" w:after="120"/>
        <w:jc w:val="center"/>
      </w:pPr>
      <w:r>
        <w:rPr>
          <w:rFonts w:eastAsia="ＭＳ 明朝"/>
          <w:iCs/>
          <w:noProof/>
          <w:sz w:val="22"/>
          <w:lang w:val="en-US" w:eastAsia="ja-JP"/>
        </w:rPr>
        <w:lastRenderedPageBreak/>
        <w:drawing>
          <wp:inline distT="0" distB="0" distL="0" distR="0" wp14:anchorId="281FDB6E" wp14:editId="15F36AFA">
            <wp:extent cx="4974526" cy="116311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51" cy="116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95918" w14:textId="3EA05D1D" w:rsidR="00D71894" w:rsidRPr="00D71894" w:rsidRDefault="00D71894" w:rsidP="00D71894">
      <w:pPr>
        <w:pStyle w:val="a7"/>
        <w:jc w:val="center"/>
        <w:rPr>
          <w:rFonts w:eastAsia="ＭＳ 明朝"/>
          <w:iCs/>
          <w:sz w:val="21"/>
          <w:lang w:eastAsia="ja-JP"/>
        </w:rPr>
      </w:pPr>
      <w:r w:rsidRPr="00D71894">
        <w:rPr>
          <w:sz w:val="22"/>
        </w:rPr>
        <w:t xml:space="preserve">Figure </w:t>
      </w:r>
      <w:r w:rsidRPr="00D71894">
        <w:rPr>
          <w:sz w:val="22"/>
        </w:rPr>
        <w:fldChar w:fldCharType="begin"/>
      </w:r>
      <w:r w:rsidRPr="00D71894">
        <w:rPr>
          <w:sz w:val="22"/>
        </w:rPr>
        <w:instrText xml:space="preserve"> SEQ Figure \* ARABIC </w:instrText>
      </w:r>
      <w:r w:rsidRPr="00D71894">
        <w:rPr>
          <w:sz w:val="22"/>
        </w:rPr>
        <w:fldChar w:fldCharType="separate"/>
      </w:r>
      <w:r w:rsidRPr="00D71894">
        <w:rPr>
          <w:noProof/>
          <w:sz w:val="22"/>
        </w:rPr>
        <w:t>1</w:t>
      </w:r>
      <w:r w:rsidRPr="00D71894">
        <w:rPr>
          <w:sz w:val="22"/>
        </w:rPr>
        <w:fldChar w:fldCharType="end"/>
      </w:r>
      <w:r w:rsidRPr="00D71894">
        <w:rPr>
          <w:rFonts w:hint="eastAsia"/>
          <w:sz w:val="22"/>
          <w:lang w:eastAsia="ja-JP"/>
        </w:rPr>
        <w:t>: Direct and indirect QCL</w:t>
      </w:r>
      <w:r w:rsidR="00F410A7">
        <w:rPr>
          <w:rFonts w:hint="eastAsia"/>
          <w:sz w:val="22"/>
          <w:lang w:eastAsia="ja-JP"/>
        </w:rPr>
        <w:t>-</w:t>
      </w:r>
      <w:r w:rsidRPr="00D71894">
        <w:rPr>
          <w:rFonts w:hint="eastAsia"/>
          <w:sz w:val="22"/>
          <w:lang w:eastAsia="ja-JP"/>
        </w:rPr>
        <w:t>TypeD relation between CSI-RS and SSB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32A28896" w14:textId="49D5DD37" w:rsidR="00FC4401" w:rsidRDefault="00ED0B96" w:rsidP="00271D3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In this contribution, we provide</w:t>
      </w:r>
      <w:r w:rsidR="00205F85" w:rsidRPr="002A5548">
        <w:rPr>
          <w:rFonts w:eastAsia="ＭＳ 明朝"/>
          <w:iCs/>
          <w:sz w:val="22"/>
          <w:lang w:eastAsia="ja-JP"/>
        </w:rPr>
        <w:t>d</w:t>
      </w:r>
      <w:r w:rsidRPr="002A5548">
        <w:rPr>
          <w:rFonts w:eastAsia="ＭＳ 明朝"/>
          <w:iCs/>
          <w:sz w:val="22"/>
          <w:lang w:eastAsia="ja-JP"/>
        </w:rPr>
        <w:t xml:space="preserve"> our views on </w:t>
      </w:r>
      <w:r w:rsidR="006A0F95">
        <w:rPr>
          <w:rFonts w:eastAsia="ＭＳ 明朝" w:hint="eastAsia"/>
          <w:iCs/>
          <w:sz w:val="22"/>
          <w:lang w:eastAsia="ja-JP"/>
        </w:rPr>
        <w:t xml:space="preserve">QCL assumption in RRM requirements, and we made </w:t>
      </w:r>
      <w:r w:rsidR="006A0F95">
        <w:rPr>
          <w:rFonts w:eastAsia="ＭＳ 明朝"/>
          <w:iCs/>
          <w:sz w:val="22"/>
          <w:lang w:eastAsia="ja-JP"/>
        </w:rPr>
        <w:t>following</w:t>
      </w:r>
      <w:r w:rsidR="006A0F95">
        <w:rPr>
          <w:rFonts w:eastAsia="ＭＳ 明朝" w:hint="eastAsia"/>
          <w:iCs/>
          <w:sz w:val="22"/>
          <w:lang w:eastAsia="ja-JP"/>
        </w:rPr>
        <w:t xml:space="preserve"> observation and proposal</w:t>
      </w:r>
      <w:r w:rsidRPr="002A5548">
        <w:rPr>
          <w:rFonts w:eastAsia="ＭＳ 明朝"/>
          <w:iCs/>
          <w:sz w:val="22"/>
          <w:lang w:eastAsia="ja-JP"/>
        </w:rPr>
        <w:t>.</w:t>
      </w:r>
    </w:p>
    <w:p w14:paraId="3A2E047F" w14:textId="77777777" w:rsidR="00B502E4" w:rsidRDefault="00B502E4" w:rsidP="00B502E4">
      <w:pPr>
        <w:spacing w:before="240" w:after="120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</w:p>
    <w:p w14:paraId="126F4BDD" w14:textId="77777777" w:rsidR="00B502E4" w:rsidRDefault="00B502E4" w:rsidP="00B502E4">
      <w:pPr>
        <w:spacing w:before="240" w:after="120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Both direct and indirect QCL-TypeD relation would be applicable for RRM requirements.</w:t>
      </w:r>
    </w:p>
    <w:p w14:paraId="52BE1AF3" w14:textId="77777777" w:rsidR="00B502E4" w:rsidRDefault="00B502E4" w:rsidP="00B502E4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 xml:space="preserve">: </w:t>
      </w:r>
    </w:p>
    <w:p w14:paraId="621CC8EC" w14:textId="77777777" w:rsidR="00B502E4" w:rsidRDefault="00B502E4" w:rsidP="00B502E4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In RRM requirements, </w:t>
      </w:r>
      <w:r w:rsidRPr="009F00A4">
        <w:rPr>
          <w:rFonts w:eastAsia="ＭＳ 明朝"/>
          <w:b/>
          <w:iCs/>
          <w:sz w:val="22"/>
          <w:lang w:eastAsia="ja-JP"/>
        </w:rPr>
        <w:t xml:space="preserve">just specifying indirect QCL-TypeD without </w:t>
      </w:r>
      <w:r>
        <w:rPr>
          <w:rFonts w:eastAsia="ＭＳ 明朝"/>
          <w:b/>
          <w:iCs/>
          <w:sz w:val="22"/>
          <w:lang w:eastAsia="ja-JP"/>
        </w:rPr>
        <w:t>any</w:t>
      </w:r>
      <w:r w:rsidRPr="009F00A4">
        <w:rPr>
          <w:rFonts w:eastAsia="ＭＳ 明朝"/>
          <w:b/>
          <w:iCs/>
          <w:sz w:val="22"/>
          <w:lang w:eastAsia="ja-JP"/>
        </w:rPr>
        <w:t xml:space="preserve"> restrictions, i.e., prohibiting multiple hops, would be reasonable in order to make the specification simpler</w:t>
      </w:r>
      <w:r>
        <w:rPr>
          <w:rFonts w:eastAsia="ＭＳ 明朝"/>
          <w:b/>
          <w:iCs/>
          <w:sz w:val="22"/>
          <w:lang w:eastAsia="ja-JP"/>
        </w:rPr>
        <w:t>.</w:t>
      </w:r>
      <w:r w:rsidRPr="009F00A4" w:rsidDel="009F00A4">
        <w:rPr>
          <w:rFonts w:eastAsia="ＭＳ 明朝" w:hint="eastAsia"/>
          <w:b/>
          <w:iCs/>
          <w:sz w:val="22"/>
          <w:lang w:eastAsia="ja-JP"/>
        </w:rPr>
        <w:t xml:space="preserve"> </w:t>
      </w:r>
    </w:p>
    <w:p w14:paraId="18FE74EA" w14:textId="77777777" w:rsidR="00ED0B96" w:rsidRPr="00D677DD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D677DD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630E9E6A" w:rsidR="00FD316C" w:rsidRPr="00D648E7" w:rsidRDefault="00FF3C22" w:rsidP="00277A2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bookmarkStart w:id="0" w:name="_GoBack"/>
      <w:bookmarkEnd w:id="0"/>
      <w:r w:rsidRPr="00D648E7">
        <w:rPr>
          <w:rFonts w:eastAsiaTheme="minorEastAsia"/>
          <w:sz w:val="22"/>
          <w:lang w:val="en-US"/>
        </w:rPr>
        <w:t>R4-</w:t>
      </w:r>
      <w:r w:rsidR="005C07CF" w:rsidRPr="00D648E7">
        <w:rPr>
          <w:rFonts w:eastAsiaTheme="minorEastAsia"/>
          <w:sz w:val="22"/>
          <w:lang w:val="en-US"/>
        </w:rPr>
        <w:t>191</w:t>
      </w:r>
      <w:r w:rsidR="00237B14" w:rsidRPr="00D648E7">
        <w:rPr>
          <w:rFonts w:eastAsiaTheme="minorEastAsia"/>
          <w:sz w:val="22"/>
          <w:lang w:val="en-US"/>
        </w:rPr>
        <w:t>1425</w:t>
      </w:r>
      <w:r w:rsidR="00387ADB" w:rsidRPr="00D648E7">
        <w:rPr>
          <w:rFonts w:eastAsiaTheme="minorEastAsia"/>
          <w:sz w:val="22"/>
          <w:lang w:eastAsia="ja-JP"/>
        </w:rPr>
        <w:t xml:space="preserve">, </w:t>
      </w:r>
      <w:r w:rsidR="00387ADB" w:rsidRPr="00D648E7">
        <w:rPr>
          <w:rFonts w:eastAsiaTheme="minorEastAsia" w:hint="eastAsia"/>
          <w:sz w:val="22"/>
          <w:lang w:eastAsia="ja-JP"/>
        </w:rPr>
        <w:t>NTT DOCOMO</w:t>
      </w:r>
      <w:r w:rsidR="00387ADB" w:rsidRPr="00D648E7">
        <w:rPr>
          <w:rFonts w:eastAsiaTheme="minorEastAsia"/>
          <w:sz w:val="22"/>
          <w:lang w:eastAsia="ja-JP"/>
        </w:rPr>
        <w:t>, “</w:t>
      </w:r>
      <w:r w:rsidR="00277A2F" w:rsidRPr="00D648E7">
        <w:rPr>
          <w:rFonts w:eastAsiaTheme="minorEastAsia"/>
          <w:sz w:val="22"/>
          <w:lang w:eastAsia="ja-JP"/>
        </w:rPr>
        <w:t>[draft] Clarification CR on applicability for QCL assumption for RRM requirements</w:t>
      </w:r>
      <w:r w:rsidR="005C07CF" w:rsidRPr="00D648E7">
        <w:rPr>
          <w:rFonts w:eastAsiaTheme="minorEastAsia"/>
          <w:sz w:val="22"/>
          <w:lang w:eastAsia="ja-JP"/>
        </w:rPr>
        <w:t>,”</w:t>
      </w:r>
    </w:p>
    <w:sectPr w:rsidR="00FD316C" w:rsidRPr="00D648E7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EDDA5" w14:textId="77777777" w:rsidR="009711C5" w:rsidRDefault="009711C5" w:rsidP="00C61991">
      <w:r>
        <w:separator/>
      </w:r>
    </w:p>
  </w:endnote>
  <w:endnote w:type="continuationSeparator" w:id="0">
    <w:p w14:paraId="51A44FAD" w14:textId="77777777" w:rsidR="009711C5" w:rsidRDefault="009711C5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游明朝">
    <w:panose1 w:val="02020400000000000000"/>
    <w:charset w:val="80"/>
    <w:family w:val="roman"/>
    <w:pitch w:val="variable"/>
    <w:sig w:usb0="0000028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F58C2" w14:textId="77777777" w:rsidR="009711C5" w:rsidRDefault="009711C5" w:rsidP="00C61991">
      <w:r>
        <w:separator/>
      </w:r>
    </w:p>
  </w:footnote>
  <w:footnote w:type="continuationSeparator" w:id="0">
    <w:p w14:paraId="48AF0641" w14:textId="77777777" w:rsidR="009711C5" w:rsidRDefault="009711C5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B0C4C"/>
    <w:multiLevelType w:val="hybridMultilevel"/>
    <w:tmpl w:val="FB8A7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1D4A58"/>
    <w:multiLevelType w:val="hybridMultilevel"/>
    <w:tmpl w:val="7E3A1A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D7C1156">
      <w:start w:val="7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9D7C1156">
      <w:start w:val="7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 w:tplc="9D7C1156">
      <w:start w:val="7"/>
      <w:numFmt w:val="bullet"/>
      <w:lvlText w:val=""/>
      <w:lvlJc w:val="left"/>
      <w:pPr>
        <w:ind w:left="1680" w:hanging="420"/>
      </w:pPr>
      <w:rPr>
        <w:rFonts w:ascii="Symbol" w:eastAsia="SimSun" w:hAnsi="Symbo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"/>
  </w:num>
  <w:num w:numId="4">
    <w:abstractNumId w:val="7"/>
  </w:num>
  <w:num w:numId="5">
    <w:abstractNumId w:val="13"/>
  </w:num>
  <w:num w:numId="6">
    <w:abstractNumId w:val="19"/>
  </w:num>
  <w:num w:numId="7">
    <w:abstractNumId w:val="4"/>
  </w:num>
  <w:num w:numId="8">
    <w:abstractNumId w:val="5"/>
  </w:num>
  <w:num w:numId="9">
    <w:abstractNumId w:val="21"/>
  </w:num>
  <w:num w:numId="10">
    <w:abstractNumId w:val="29"/>
  </w:num>
  <w:num w:numId="11">
    <w:abstractNumId w:val="11"/>
  </w:num>
  <w:num w:numId="12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4"/>
  </w:num>
  <w:num w:numId="15">
    <w:abstractNumId w:val="20"/>
  </w:num>
  <w:num w:numId="16">
    <w:abstractNumId w:val="22"/>
  </w:num>
  <w:num w:numId="17">
    <w:abstractNumId w:val="28"/>
  </w:num>
  <w:num w:numId="18">
    <w:abstractNumId w:val="0"/>
  </w:num>
  <w:num w:numId="19">
    <w:abstractNumId w:val="30"/>
  </w:num>
  <w:num w:numId="20">
    <w:abstractNumId w:val="16"/>
  </w:num>
  <w:num w:numId="21">
    <w:abstractNumId w:val="25"/>
  </w:num>
  <w:num w:numId="22">
    <w:abstractNumId w:val="14"/>
  </w:num>
  <w:num w:numId="23">
    <w:abstractNumId w:val="17"/>
  </w:num>
  <w:num w:numId="24">
    <w:abstractNumId w:val="6"/>
  </w:num>
  <w:num w:numId="25">
    <w:abstractNumId w:val="9"/>
  </w:num>
  <w:num w:numId="26">
    <w:abstractNumId w:val="26"/>
  </w:num>
  <w:num w:numId="27">
    <w:abstractNumId w:val="10"/>
  </w:num>
  <w:num w:numId="28">
    <w:abstractNumId w:val="12"/>
  </w:num>
  <w:num w:numId="29">
    <w:abstractNumId w:val="15"/>
  </w:num>
  <w:num w:numId="30">
    <w:abstractNumId w:val="3"/>
  </w:num>
  <w:num w:numId="31">
    <w:abstractNumId w:val="18"/>
  </w:num>
  <w:num w:numId="32">
    <w:abstractNumId w:val="2"/>
  </w:num>
  <w:num w:numId="3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661F"/>
    <w:rsid w:val="00033C2A"/>
    <w:rsid w:val="0003450A"/>
    <w:rsid w:val="00034E2C"/>
    <w:rsid w:val="00035A27"/>
    <w:rsid w:val="000412CC"/>
    <w:rsid w:val="000443BF"/>
    <w:rsid w:val="00051D68"/>
    <w:rsid w:val="00052277"/>
    <w:rsid w:val="00052323"/>
    <w:rsid w:val="00052FDD"/>
    <w:rsid w:val="000540B8"/>
    <w:rsid w:val="000549BF"/>
    <w:rsid w:val="000605A5"/>
    <w:rsid w:val="000624C6"/>
    <w:rsid w:val="00065351"/>
    <w:rsid w:val="000667F9"/>
    <w:rsid w:val="000707D2"/>
    <w:rsid w:val="00070888"/>
    <w:rsid w:val="000744DF"/>
    <w:rsid w:val="000754F6"/>
    <w:rsid w:val="0007557F"/>
    <w:rsid w:val="00076987"/>
    <w:rsid w:val="00082C84"/>
    <w:rsid w:val="00083035"/>
    <w:rsid w:val="00083CBB"/>
    <w:rsid w:val="0008631D"/>
    <w:rsid w:val="00086FB0"/>
    <w:rsid w:val="00090908"/>
    <w:rsid w:val="00090E61"/>
    <w:rsid w:val="00092946"/>
    <w:rsid w:val="00094AC2"/>
    <w:rsid w:val="00097C0F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C69ED"/>
    <w:rsid w:val="000D12FA"/>
    <w:rsid w:val="000D1D52"/>
    <w:rsid w:val="000D2AE1"/>
    <w:rsid w:val="000D6CEF"/>
    <w:rsid w:val="000D7A9D"/>
    <w:rsid w:val="000E0AE7"/>
    <w:rsid w:val="000E0DC0"/>
    <w:rsid w:val="000E65F2"/>
    <w:rsid w:val="000E6657"/>
    <w:rsid w:val="000F0B3B"/>
    <w:rsid w:val="000F411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35347"/>
    <w:rsid w:val="001355E8"/>
    <w:rsid w:val="00140166"/>
    <w:rsid w:val="00157577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600E"/>
    <w:rsid w:val="001863FA"/>
    <w:rsid w:val="00186AA0"/>
    <w:rsid w:val="0019457D"/>
    <w:rsid w:val="0019672F"/>
    <w:rsid w:val="001A0104"/>
    <w:rsid w:val="001A0E26"/>
    <w:rsid w:val="001A1468"/>
    <w:rsid w:val="001A2059"/>
    <w:rsid w:val="001A2CDB"/>
    <w:rsid w:val="001A4B5D"/>
    <w:rsid w:val="001A4F14"/>
    <w:rsid w:val="001A790D"/>
    <w:rsid w:val="001A7D6A"/>
    <w:rsid w:val="001B42D2"/>
    <w:rsid w:val="001B73D9"/>
    <w:rsid w:val="001C02D2"/>
    <w:rsid w:val="001C0739"/>
    <w:rsid w:val="001C202B"/>
    <w:rsid w:val="001C7FA6"/>
    <w:rsid w:val="001D1E34"/>
    <w:rsid w:val="001D2A1B"/>
    <w:rsid w:val="001D5536"/>
    <w:rsid w:val="001D6222"/>
    <w:rsid w:val="001D6CF0"/>
    <w:rsid w:val="001E0CF9"/>
    <w:rsid w:val="001E1D7C"/>
    <w:rsid w:val="001E2976"/>
    <w:rsid w:val="001E69A9"/>
    <w:rsid w:val="001E7658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04C8"/>
    <w:rsid w:val="002224ED"/>
    <w:rsid w:val="00231445"/>
    <w:rsid w:val="002340BE"/>
    <w:rsid w:val="00236C04"/>
    <w:rsid w:val="00237B14"/>
    <w:rsid w:val="00244DA3"/>
    <w:rsid w:val="00245AE7"/>
    <w:rsid w:val="00245B52"/>
    <w:rsid w:val="00250F29"/>
    <w:rsid w:val="00252644"/>
    <w:rsid w:val="00253465"/>
    <w:rsid w:val="002604E7"/>
    <w:rsid w:val="00262091"/>
    <w:rsid w:val="00262203"/>
    <w:rsid w:val="00265DDB"/>
    <w:rsid w:val="00266E0C"/>
    <w:rsid w:val="00271D3F"/>
    <w:rsid w:val="002736FC"/>
    <w:rsid w:val="002764A4"/>
    <w:rsid w:val="00277A2F"/>
    <w:rsid w:val="0028215D"/>
    <w:rsid w:val="002823A5"/>
    <w:rsid w:val="00286072"/>
    <w:rsid w:val="00286504"/>
    <w:rsid w:val="00287B31"/>
    <w:rsid w:val="00290059"/>
    <w:rsid w:val="00291AAB"/>
    <w:rsid w:val="00292890"/>
    <w:rsid w:val="002953C8"/>
    <w:rsid w:val="00297B7F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3466"/>
    <w:rsid w:val="002C45BF"/>
    <w:rsid w:val="002D483A"/>
    <w:rsid w:val="002E04BA"/>
    <w:rsid w:val="002E3D32"/>
    <w:rsid w:val="002E3E62"/>
    <w:rsid w:val="002E53CE"/>
    <w:rsid w:val="002E7C36"/>
    <w:rsid w:val="002F032D"/>
    <w:rsid w:val="002F7B6F"/>
    <w:rsid w:val="00307680"/>
    <w:rsid w:val="00313BC7"/>
    <w:rsid w:val="0031469F"/>
    <w:rsid w:val="003179B3"/>
    <w:rsid w:val="00317C4B"/>
    <w:rsid w:val="003225E0"/>
    <w:rsid w:val="003315CC"/>
    <w:rsid w:val="0033426E"/>
    <w:rsid w:val="00334414"/>
    <w:rsid w:val="003345B2"/>
    <w:rsid w:val="00334F76"/>
    <w:rsid w:val="00335F46"/>
    <w:rsid w:val="00336325"/>
    <w:rsid w:val="0034491B"/>
    <w:rsid w:val="00350B3B"/>
    <w:rsid w:val="00350ED5"/>
    <w:rsid w:val="00352F15"/>
    <w:rsid w:val="00354D1D"/>
    <w:rsid w:val="0035703B"/>
    <w:rsid w:val="00361768"/>
    <w:rsid w:val="00361A9D"/>
    <w:rsid w:val="003648EA"/>
    <w:rsid w:val="00366001"/>
    <w:rsid w:val="0037340D"/>
    <w:rsid w:val="003739F9"/>
    <w:rsid w:val="00373D0F"/>
    <w:rsid w:val="00373D28"/>
    <w:rsid w:val="00386E3C"/>
    <w:rsid w:val="00387ADB"/>
    <w:rsid w:val="00395081"/>
    <w:rsid w:val="003A3F2E"/>
    <w:rsid w:val="003A6842"/>
    <w:rsid w:val="003B1DFA"/>
    <w:rsid w:val="003B4C95"/>
    <w:rsid w:val="003B71D3"/>
    <w:rsid w:val="003B7D28"/>
    <w:rsid w:val="003C0A71"/>
    <w:rsid w:val="003C0A98"/>
    <w:rsid w:val="003C2AC3"/>
    <w:rsid w:val="003C3464"/>
    <w:rsid w:val="003C3F74"/>
    <w:rsid w:val="003C565A"/>
    <w:rsid w:val="003C5CE6"/>
    <w:rsid w:val="003D0FB4"/>
    <w:rsid w:val="003D4218"/>
    <w:rsid w:val="003D607B"/>
    <w:rsid w:val="003D6FE4"/>
    <w:rsid w:val="003D7464"/>
    <w:rsid w:val="003D7E9F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572D"/>
    <w:rsid w:val="00426305"/>
    <w:rsid w:val="00430930"/>
    <w:rsid w:val="0043309D"/>
    <w:rsid w:val="0043507E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B0A87"/>
    <w:rsid w:val="004C2F20"/>
    <w:rsid w:val="004C700B"/>
    <w:rsid w:val="004D4C63"/>
    <w:rsid w:val="004D7181"/>
    <w:rsid w:val="004E1ED0"/>
    <w:rsid w:val="004E3188"/>
    <w:rsid w:val="004E697F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51464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355F"/>
    <w:rsid w:val="005B7C27"/>
    <w:rsid w:val="005B7FCC"/>
    <w:rsid w:val="005C07CF"/>
    <w:rsid w:val="005C1A42"/>
    <w:rsid w:val="005C1CDA"/>
    <w:rsid w:val="005C2E84"/>
    <w:rsid w:val="005C36A2"/>
    <w:rsid w:val="005C4614"/>
    <w:rsid w:val="005C4E22"/>
    <w:rsid w:val="005C56DE"/>
    <w:rsid w:val="005D1092"/>
    <w:rsid w:val="005D248F"/>
    <w:rsid w:val="005E0BE3"/>
    <w:rsid w:val="005E14B4"/>
    <w:rsid w:val="005E6719"/>
    <w:rsid w:val="005E6BB3"/>
    <w:rsid w:val="005E7584"/>
    <w:rsid w:val="005F061B"/>
    <w:rsid w:val="005F069B"/>
    <w:rsid w:val="005F23A0"/>
    <w:rsid w:val="005F4FF4"/>
    <w:rsid w:val="005F6B0F"/>
    <w:rsid w:val="0060241D"/>
    <w:rsid w:val="006103CA"/>
    <w:rsid w:val="0061060D"/>
    <w:rsid w:val="00610BDB"/>
    <w:rsid w:val="006136F6"/>
    <w:rsid w:val="0061503D"/>
    <w:rsid w:val="0063030B"/>
    <w:rsid w:val="00632A0B"/>
    <w:rsid w:val="00635339"/>
    <w:rsid w:val="0064352D"/>
    <w:rsid w:val="006477C5"/>
    <w:rsid w:val="006510B3"/>
    <w:rsid w:val="00655D10"/>
    <w:rsid w:val="006575D5"/>
    <w:rsid w:val="00661925"/>
    <w:rsid w:val="00667167"/>
    <w:rsid w:val="00667FD0"/>
    <w:rsid w:val="0067253A"/>
    <w:rsid w:val="00672B41"/>
    <w:rsid w:val="00675FA7"/>
    <w:rsid w:val="0068195F"/>
    <w:rsid w:val="00685795"/>
    <w:rsid w:val="006862AE"/>
    <w:rsid w:val="0069302B"/>
    <w:rsid w:val="00694542"/>
    <w:rsid w:val="0069742A"/>
    <w:rsid w:val="006A0F95"/>
    <w:rsid w:val="006A3059"/>
    <w:rsid w:val="006A3B6A"/>
    <w:rsid w:val="006A7434"/>
    <w:rsid w:val="006B0AF3"/>
    <w:rsid w:val="006B1899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6F778D"/>
    <w:rsid w:val="00702DD3"/>
    <w:rsid w:val="0070702D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45313"/>
    <w:rsid w:val="007566B9"/>
    <w:rsid w:val="00762474"/>
    <w:rsid w:val="007640DA"/>
    <w:rsid w:val="00774C08"/>
    <w:rsid w:val="007776F4"/>
    <w:rsid w:val="007807EE"/>
    <w:rsid w:val="00781603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E6569"/>
    <w:rsid w:val="007F03E0"/>
    <w:rsid w:val="007F251C"/>
    <w:rsid w:val="007F3FD9"/>
    <w:rsid w:val="007F6407"/>
    <w:rsid w:val="007F79F1"/>
    <w:rsid w:val="008043B6"/>
    <w:rsid w:val="00813B2E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347C"/>
    <w:rsid w:val="00847AD2"/>
    <w:rsid w:val="00851353"/>
    <w:rsid w:val="008540FC"/>
    <w:rsid w:val="0085490B"/>
    <w:rsid w:val="0085550E"/>
    <w:rsid w:val="00857742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675"/>
    <w:rsid w:val="008A1B1F"/>
    <w:rsid w:val="008A3623"/>
    <w:rsid w:val="008A4049"/>
    <w:rsid w:val="008A4A83"/>
    <w:rsid w:val="008A4C46"/>
    <w:rsid w:val="008A5963"/>
    <w:rsid w:val="008B323C"/>
    <w:rsid w:val="008B41FD"/>
    <w:rsid w:val="008B4B37"/>
    <w:rsid w:val="008B7DC5"/>
    <w:rsid w:val="008C056D"/>
    <w:rsid w:val="008C1C06"/>
    <w:rsid w:val="008C6795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0ADE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262E6"/>
    <w:rsid w:val="00930E85"/>
    <w:rsid w:val="00930E8A"/>
    <w:rsid w:val="0093210C"/>
    <w:rsid w:val="00932CA3"/>
    <w:rsid w:val="00935728"/>
    <w:rsid w:val="00935A6F"/>
    <w:rsid w:val="00941055"/>
    <w:rsid w:val="00941816"/>
    <w:rsid w:val="009430BF"/>
    <w:rsid w:val="009436E9"/>
    <w:rsid w:val="00943FB7"/>
    <w:rsid w:val="00946045"/>
    <w:rsid w:val="00946F16"/>
    <w:rsid w:val="0094741E"/>
    <w:rsid w:val="00947711"/>
    <w:rsid w:val="0095076B"/>
    <w:rsid w:val="009525E8"/>
    <w:rsid w:val="009532DE"/>
    <w:rsid w:val="00957E10"/>
    <w:rsid w:val="0096207C"/>
    <w:rsid w:val="00963251"/>
    <w:rsid w:val="00963E3F"/>
    <w:rsid w:val="00965592"/>
    <w:rsid w:val="009702CA"/>
    <w:rsid w:val="009711C5"/>
    <w:rsid w:val="00971D2F"/>
    <w:rsid w:val="009727A4"/>
    <w:rsid w:val="00972ED8"/>
    <w:rsid w:val="0097435E"/>
    <w:rsid w:val="009774AB"/>
    <w:rsid w:val="00982951"/>
    <w:rsid w:val="0098377F"/>
    <w:rsid w:val="00986FDC"/>
    <w:rsid w:val="00992CFA"/>
    <w:rsid w:val="00993492"/>
    <w:rsid w:val="0099564C"/>
    <w:rsid w:val="00997099"/>
    <w:rsid w:val="009974B3"/>
    <w:rsid w:val="009A41FC"/>
    <w:rsid w:val="009A60CC"/>
    <w:rsid w:val="009B0072"/>
    <w:rsid w:val="009B045A"/>
    <w:rsid w:val="009B1E51"/>
    <w:rsid w:val="009B3921"/>
    <w:rsid w:val="009C051C"/>
    <w:rsid w:val="009C2B25"/>
    <w:rsid w:val="009C4C9E"/>
    <w:rsid w:val="009D0A21"/>
    <w:rsid w:val="009D12AB"/>
    <w:rsid w:val="009D4495"/>
    <w:rsid w:val="009D6720"/>
    <w:rsid w:val="009D73BA"/>
    <w:rsid w:val="009E1124"/>
    <w:rsid w:val="009E1780"/>
    <w:rsid w:val="009E3134"/>
    <w:rsid w:val="009E3E7B"/>
    <w:rsid w:val="009E4229"/>
    <w:rsid w:val="009E4555"/>
    <w:rsid w:val="009E5583"/>
    <w:rsid w:val="009E6C84"/>
    <w:rsid w:val="009F00A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4AEE"/>
    <w:rsid w:val="00AC2C7A"/>
    <w:rsid w:val="00AC6118"/>
    <w:rsid w:val="00AD3D6D"/>
    <w:rsid w:val="00AD5367"/>
    <w:rsid w:val="00AD70A1"/>
    <w:rsid w:val="00AE0E2D"/>
    <w:rsid w:val="00AE10D7"/>
    <w:rsid w:val="00AE6A9C"/>
    <w:rsid w:val="00AF180C"/>
    <w:rsid w:val="00AF29A1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738"/>
    <w:rsid w:val="00B45BBC"/>
    <w:rsid w:val="00B502E4"/>
    <w:rsid w:val="00B509FA"/>
    <w:rsid w:val="00B514D2"/>
    <w:rsid w:val="00B53F01"/>
    <w:rsid w:val="00B551F2"/>
    <w:rsid w:val="00B619C8"/>
    <w:rsid w:val="00B644AD"/>
    <w:rsid w:val="00B646F0"/>
    <w:rsid w:val="00B66648"/>
    <w:rsid w:val="00B66EBB"/>
    <w:rsid w:val="00B706A0"/>
    <w:rsid w:val="00B71F78"/>
    <w:rsid w:val="00B74DB2"/>
    <w:rsid w:val="00B76618"/>
    <w:rsid w:val="00B81144"/>
    <w:rsid w:val="00B8175A"/>
    <w:rsid w:val="00B84FCB"/>
    <w:rsid w:val="00B91570"/>
    <w:rsid w:val="00B935EE"/>
    <w:rsid w:val="00B95F09"/>
    <w:rsid w:val="00B977C6"/>
    <w:rsid w:val="00B97B0E"/>
    <w:rsid w:val="00BA03A1"/>
    <w:rsid w:val="00BA2081"/>
    <w:rsid w:val="00BA3621"/>
    <w:rsid w:val="00BA3B3B"/>
    <w:rsid w:val="00BA4624"/>
    <w:rsid w:val="00BA52B1"/>
    <w:rsid w:val="00BA6B25"/>
    <w:rsid w:val="00BB353C"/>
    <w:rsid w:val="00BB4A66"/>
    <w:rsid w:val="00BB602D"/>
    <w:rsid w:val="00BB64E7"/>
    <w:rsid w:val="00BC229B"/>
    <w:rsid w:val="00BC602F"/>
    <w:rsid w:val="00BD1855"/>
    <w:rsid w:val="00BD21AA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1E62"/>
    <w:rsid w:val="00C04C7D"/>
    <w:rsid w:val="00C04D4F"/>
    <w:rsid w:val="00C072D4"/>
    <w:rsid w:val="00C10B1C"/>
    <w:rsid w:val="00C12F16"/>
    <w:rsid w:val="00C16358"/>
    <w:rsid w:val="00C1688A"/>
    <w:rsid w:val="00C16D79"/>
    <w:rsid w:val="00C16FC9"/>
    <w:rsid w:val="00C17576"/>
    <w:rsid w:val="00C20B11"/>
    <w:rsid w:val="00C20EEC"/>
    <w:rsid w:val="00C252DE"/>
    <w:rsid w:val="00C25590"/>
    <w:rsid w:val="00C27C16"/>
    <w:rsid w:val="00C308D5"/>
    <w:rsid w:val="00C32585"/>
    <w:rsid w:val="00C3430C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36E3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15D2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3578"/>
    <w:rsid w:val="00D45E3E"/>
    <w:rsid w:val="00D60F06"/>
    <w:rsid w:val="00D626AC"/>
    <w:rsid w:val="00D648E7"/>
    <w:rsid w:val="00D64FD1"/>
    <w:rsid w:val="00D66A21"/>
    <w:rsid w:val="00D66E46"/>
    <w:rsid w:val="00D677DD"/>
    <w:rsid w:val="00D70F27"/>
    <w:rsid w:val="00D71894"/>
    <w:rsid w:val="00D74F1F"/>
    <w:rsid w:val="00D769D7"/>
    <w:rsid w:val="00D81A3D"/>
    <w:rsid w:val="00D929D7"/>
    <w:rsid w:val="00DA458F"/>
    <w:rsid w:val="00DB0537"/>
    <w:rsid w:val="00DB6496"/>
    <w:rsid w:val="00DB785D"/>
    <w:rsid w:val="00DC01E5"/>
    <w:rsid w:val="00DC0FEC"/>
    <w:rsid w:val="00DC12FD"/>
    <w:rsid w:val="00DC21F0"/>
    <w:rsid w:val="00DC2F9E"/>
    <w:rsid w:val="00DC35D5"/>
    <w:rsid w:val="00DC3B81"/>
    <w:rsid w:val="00DC7662"/>
    <w:rsid w:val="00DC7C0C"/>
    <w:rsid w:val="00DD2E40"/>
    <w:rsid w:val="00DE104C"/>
    <w:rsid w:val="00DE5EAE"/>
    <w:rsid w:val="00DE7996"/>
    <w:rsid w:val="00DF2DE3"/>
    <w:rsid w:val="00DF3FF5"/>
    <w:rsid w:val="00DF7860"/>
    <w:rsid w:val="00E01D1F"/>
    <w:rsid w:val="00E04CC7"/>
    <w:rsid w:val="00E0593C"/>
    <w:rsid w:val="00E11F77"/>
    <w:rsid w:val="00E25CC0"/>
    <w:rsid w:val="00E26C4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33A6"/>
    <w:rsid w:val="00EB4334"/>
    <w:rsid w:val="00EB5802"/>
    <w:rsid w:val="00EB7F34"/>
    <w:rsid w:val="00EC2D10"/>
    <w:rsid w:val="00EC3C47"/>
    <w:rsid w:val="00EC4E46"/>
    <w:rsid w:val="00ED0B96"/>
    <w:rsid w:val="00ED79C1"/>
    <w:rsid w:val="00ED7A92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D87"/>
    <w:rsid w:val="00F31FC6"/>
    <w:rsid w:val="00F410A7"/>
    <w:rsid w:val="00F41A1A"/>
    <w:rsid w:val="00F4228D"/>
    <w:rsid w:val="00F43577"/>
    <w:rsid w:val="00F4483F"/>
    <w:rsid w:val="00F47160"/>
    <w:rsid w:val="00F51033"/>
    <w:rsid w:val="00F51FF9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5979"/>
    <w:rsid w:val="00F9692D"/>
    <w:rsid w:val="00F97A8C"/>
    <w:rsid w:val="00FA01B4"/>
    <w:rsid w:val="00FA2E4F"/>
    <w:rsid w:val="00FA3008"/>
    <w:rsid w:val="00FA4BD4"/>
    <w:rsid w:val="00FA7FD5"/>
    <w:rsid w:val="00FB4F98"/>
    <w:rsid w:val="00FB5C02"/>
    <w:rsid w:val="00FB6FA3"/>
    <w:rsid w:val="00FC163B"/>
    <w:rsid w:val="00FC1A7E"/>
    <w:rsid w:val="00FC4401"/>
    <w:rsid w:val="00FC6A31"/>
    <w:rsid w:val="00FC6C8F"/>
    <w:rsid w:val="00FD316C"/>
    <w:rsid w:val="00FD55BE"/>
    <w:rsid w:val="00FD59AD"/>
    <w:rsid w:val="00FD5E2A"/>
    <w:rsid w:val="00FD6D6C"/>
    <w:rsid w:val="00FE17FF"/>
    <w:rsid w:val="00FE4E64"/>
    <w:rsid w:val="00FF01E8"/>
    <w:rsid w:val="00FF3C22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  <w15:docId w15:val="{5E1D59E2-D3CC-46F8-9466-F09D50CA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Takuma Takada</cp:lastModifiedBy>
  <cp:revision>5</cp:revision>
  <dcterms:created xsi:type="dcterms:W3CDTF">2019-10-04T04:48:00Z</dcterms:created>
  <dcterms:modified xsi:type="dcterms:W3CDTF">2019-10-04T04:55:00Z</dcterms:modified>
</cp:coreProperties>
</file>